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65" w:rsidRPr="00DD1065" w:rsidRDefault="00DD1065" w:rsidP="00DD106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D1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В.В. </w:t>
      </w:r>
      <w:proofErr w:type="spellStart"/>
      <w:r w:rsidRPr="00DD1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Бакакин</w:t>
      </w:r>
      <w:proofErr w:type="spellEnd"/>
      <w:r w:rsidRPr="00DD1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О МОЕМ УНИВЕРСИТЕТЕ - ПОЛВЕКА </w:t>
      </w:r>
      <w:proofErr w:type="gramStart"/>
      <w:r w:rsidRPr="00DD1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СПУСТЯ</w:t>
      </w:r>
      <w:proofErr w:type="gramEnd"/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3"/>
      </w:tblGrid>
      <w:tr w:rsidR="00DD1065" w:rsidRPr="00DD1065" w:rsidTr="00DD1065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DD1065" w:rsidRPr="00DD1065" w:rsidRDefault="00DD1065" w:rsidP="00DD10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0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Казалось, лишь веха. Но скоро полвека,</w:t>
            </w:r>
            <w:r w:rsidRPr="00DD10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Как тут наши семьи и наши дела.</w:t>
            </w:r>
            <w:r w:rsidRPr="00DD10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И, жизни покорна, фамильная крона</w:t>
            </w:r>
            <w:proofErr w:type="gramStart"/>
            <w:r w:rsidRPr="00DD10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DD10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ветви, и корни в Сибири дала.</w:t>
            </w:r>
          </w:p>
        </w:tc>
      </w:tr>
    </w:tbl>
    <w:p w:rsidR="00DD1065" w:rsidRPr="00DD1065" w:rsidRDefault="00DD1065" w:rsidP="00DD1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Юбилей Московского государственного университета в 2005 году вдруг напомнил мне годы, связанные с МГУ, и то, что наш выпуск - 1955 года - назывался тогда юбилейным. Сохранившийся в семейном архиве скромный пригласительный билет на пленарное заседание юбилейной научной сессии - одно из документальных свидетельств того времени. Он достался мне как именному стипендиату.</w:t>
      </w:r>
    </w:p>
    <w:p w:rsidR="00DD1065" w:rsidRPr="00DD1065" w:rsidRDefault="00DD1065" w:rsidP="00DD1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Сохранилась и красочно оформленная программа юбилейного концерта в Большом театре Союза ССР. В ней наряду с титулованными артистами и дирижерами -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О.Лепешинской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В.Борисенко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А.Мелик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-Пашаевым,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К.Кондрашиным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другие - есть и "начинающие". Например: "исполняет студент Московской консерватории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И.Ойстрах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"; или - еще проще - "исполняет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С.Рихтер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".</w:t>
      </w:r>
    </w:p>
    <w:p w:rsidR="00DD1065" w:rsidRPr="00DD1065" w:rsidRDefault="00DD1065" w:rsidP="00DD1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Учиться в Москву я приехал из Ярославля в 1950 году. Тогда с получением высшего образования не было проблем, в вузы поступали практически все желающие, окончившие среднюю школу. Это девятнадцатилетний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М.В.Ломоносов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сын помора-рыбопромышленника, для учебы в Московской Славяно-греко-латинской академии был вынужден выдать себя за сына дворянина. Очевидно, памятуя о том, он и хлопотал впоследствии о создании Московского университета как учреждения европейского типа, доступного всем слоям населения. Я, "из простонародья", в десять </w:t>
      </w:r>
      <w:proofErr w:type="gram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лет</w:t>
      </w:r>
      <w:proofErr w:type="gram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оставшийся без отца и матери, закончил десятилетку благодаря помощи добрых людей и советской власти, воспринимал возможность получить диплом МГУ как естественную данность. Золотая медаль и первый разряд по шахматам снимали конкурсные заботы. Признаться, четкой профессиональной ориентации у меня не было. Догадываюсь, что геологический факультет был выбран под впечатлением от когда-то прочитанной романтической "Занимательной геохимии"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А.Е.Ферсмана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180"/>
      </w:tblGrid>
      <w:tr w:rsidR="00DD1065" w:rsidRPr="00DD1065" w:rsidTr="00DD1065">
        <w:trPr>
          <w:tblCellSpacing w:w="0" w:type="dxa"/>
        </w:trPr>
        <w:tc>
          <w:tcPr>
            <w:tcW w:w="0" w:type="auto"/>
            <w:vAlign w:val="center"/>
            <w:hideMark/>
          </w:tcPr>
          <w:p w:rsidR="00DD1065" w:rsidRPr="00DD1065" w:rsidRDefault="00DD1065" w:rsidP="00DD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51424" cy="1111850"/>
                  <wp:effectExtent l="0" t="0" r="0" b="0"/>
                  <wp:docPr id="4" name="Рисунок 4" descr="Пригласительный би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гласительный би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488" cy="1112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  <w:hideMark/>
          </w:tcPr>
          <w:p w:rsidR="00DD1065" w:rsidRPr="00DD1065" w:rsidRDefault="00DD1065" w:rsidP="00DD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D1065" w:rsidRPr="00DD1065" w:rsidRDefault="00DD1065" w:rsidP="00DD1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 у каждого студента, впечатления от первых лет учебы незабываемы. Меня, провинциала, </w:t>
      </w:r>
      <w:proofErr w:type="gram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поразило</w:t>
      </w:r>
      <w:proofErr w:type="gram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прежде всего разнообразие национального состава. Оказалось, существовала, кажется, пятнадцатипроцентная квота для внеконкурсного зачисления представителей малых национальностей. На нашем курсе были представлены почти все республики. В моей 12-местной комнате общежития (</w:t>
      </w:r>
      <w:proofErr w:type="gram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знаменитая</w:t>
      </w:r>
      <w:proofErr w:type="gram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Стромынка-32) русские дружно соседствовали с азербайджанцем, армянином, дагестанцем и корейцем. (Над последним мы любили подтрунивать - он, имевший боевую медаль за пленение американского солдата, боялся умываться ледяной водой из-под крана и подогревал ее в чайнике.) Было на курсе и несколько "старичков", отслуживших в армии и флоте.</w:t>
      </w:r>
    </w:p>
    <w:p w:rsidR="00DD1065" w:rsidRPr="00DD1065" w:rsidRDefault="00DD1065" w:rsidP="00DD1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Другая характерная особенность - резкая смена образа жизни, ее интенсификация. Учебная загруженность воспринималась как норма. Поначалу преобладали общеобразовательные предметы. Были и как бы "лишние". Например, в первую же сессию все сдавали экзамены по ботанике и зоологии, запомнившейся только практикумом препарирования раков, рыб, лягушек и пр. Кажется, мы были последними на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геолфаке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кому - в угоду "университетскому образованию" - читались эти курсы.</w:t>
      </w:r>
    </w:p>
    <w:p w:rsidR="00DD1065" w:rsidRPr="00DD1065" w:rsidRDefault="00DD1065" w:rsidP="00DD1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Срабатывали и улавливающие первокурсников рекламные объявления при спортклубе и клубе МГУ. Лично я записался в гимнастическую секцию (получив третий разряд, бросил), зачем-то, обладая нулевым музыкальным слухом, начал учиться играть на балалайке в оркестре народных инструментов (весной "выступал" на концерте), в меру серьезно повышал квалификацию на занятиях у легендарного шахматного мастера и тренера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П.А.Романовского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Шахматы не оставляли меня все годы учебы: помимо заразительного "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блицевания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" регулярно играл в составе как факультетской команды, где на мне лежало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капитанство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так (реже) и университетской. Увлечение </w:t>
      </w:r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физкультурой было повальным, кроме секций массовых видов спорта были популярны и такие, как </w:t>
      </w:r>
      <w:proofErr w:type="gram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парашютная</w:t>
      </w:r>
      <w:proofErr w:type="gram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конно-спортивная и др.</w:t>
      </w:r>
    </w:p>
    <w:p w:rsidR="00DD1065" w:rsidRPr="00DD1065" w:rsidRDefault="00DD1065" w:rsidP="00DD1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Общежитие на Стромынке и учебные здания МГУ на Моховой разделяли три трамвайные остановки и шесть перегонов метро от Сокольников до Охотного ряда. Трамваи по утрам всегда брались с боем, и оплачивать проезд мы, естественно, "не успевали". Но уж в метро полтинник вынь да положи, и удачей считалось дважды использовать билет с плохо оторванным "контролем". (Почему-то запомнился случай, когда женщина вышла на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Красносельской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проехав одну остановку, и я искренне удивился: на троллейбусе она сэкономила бы тридцать копеек.) Из последних строк понятно, что мне, как и многим иногородним студентам, жить приходилось на одну стипендию - 280 рублей. </w:t>
      </w:r>
      <w:proofErr w:type="gram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общем-то ее хватало, помнится хронический недосып и дефицит времени, но не еды. Обычно утром и вечером - чай "по-стромынски", то есть без заварки, с половиной большого батона за 26 копеек (а в марте каждого года цены на хлеб снижались!), иногда полпачки пельменей. Батон покупался, как правило, в булочной недалеко от МГУ, которая закрывалась в 23-00. И это было контрольное время возвращения в общежитие: опоздал - ляжешь спать голодным. А днем - обед примерно за 4 рубля в университетской столовой, в подвальном этаже красивого главного здания. Она и по тем временам считалась тесной. О самообслуживании и понятия не было, выбитые в кассе чеки собирали и потом разносили еду официантки. За стульями каждого из </w:t>
      </w:r>
      <w:proofErr w:type="gram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обедающих</w:t>
      </w:r>
      <w:proofErr w:type="gram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стояли ожидающие. Оплаченные порции хлеба редко сохранялись до появления даже первого блюда - намазанные горчицей они были так вкусны! Студенты набора 1953 года этого уже не застали. Они сразу попали в новое здание МГУ на Ленинских горах, где были райские условия не только учебы и жилья, но и питания. В двух просторнейших студенческих столовых самообслуживания на столах стояли тарелки с белым хлебом, кувшины с витаминными напитками и салаты из свежей или квашеной капусты. И все это бесплатно! Правда, и года не прошло, как "</w:t>
      </w:r>
      <w:proofErr w:type="gram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халява</w:t>
      </w:r>
      <w:proofErr w:type="gram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 кончилась.</w:t>
      </w:r>
    </w:p>
    <w:p w:rsidR="00DD1065" w:rsidRPr="00DD1065" w:rsidRDefault="00DD1065" w:rsidP="00DD1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C четвертого курса начиналась специализация на кафедре кристаллографии и кристаллохимии, просторно размещенной теперь на четвертом этаже высотного здания на Ленинских горах. Ею заведовал профессор Георгий Борисович Бокий. Лишь со временем я оценил масштабы его организаторского таланта. Чего стоила только гигантская коллекция эффектных моделей кристаллических структур, для изготовления которых заранее были созданы специальное конструкторское бюро и мастерская. (Все копии чертежей позже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Г.Б.Бокий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перевез в Новосибирск, и заложенные им основы моделирования сейчас сохранены и усовершенствованы в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микромастерской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Института неорганической химии СО РАН, по-видимому, единственной, уцелевшей в нынешней России.) Помимо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Г.Б.Бокия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читавшего курс кристаллохимии, прекрасно вели практикумы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Ю.Г.Загальская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Е.А.Победимская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"Рентгеноструктурный анализ" и "строение вещества" преподавали будущие члены-корреспонденты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М.А.Порай-Кошиц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Ю.Т.Стручков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gram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конечно же, изюминкой были спецкурсы академика Николая Васильевича Белова, лидера советской структурной минералогии и кристаллографии. Он-то и был последовательно научным руководителем моих курсовой, </w:t>
      </w:r>
      <w:proofErr w:type="gram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дипломной</w:t>
      </w:r>
      <w:proofErr w:type="gram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аспирантской работ. Курсовая 1954 года "Рациональная методика подсчета различных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плотнейших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упаковок", выполненная из-за смены темы за месяц-полтора, стала моей первой научной публикацией.</w:t>
      </w:r>
    </w:p>
    <w:p w:rsidR="00DD1065" w:rsidRPr="00DD1065" w:rsidRDefault="00DD1065" w:rsidP="00DD1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Окончание моей аспирантуры совпадало с активизацией работы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Г.Б.Бокия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уже члена-корреспондента, во вновь образованном Сибирском отделении АН. Он создавал возглавляемый им теоретический отдел в Институте неорганической химии и был вместе с директором членом-корреспондентом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А.В.Николаевым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фактическим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соорганизатором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Института неорганической химии (ИНХ). К нему-то я и обратился. К нашему взаимному удовольствию я был тут же зачислен в штат на должность младшего научного сотрудника с окладом 1350 рублей. После аспирантских 780 рублей это было "не слабо", тем более что на первых порах новых обязанностей почти не было и год-два - до постройки новосибирской квартиры - следовало жить </w:t>
      </w:r>
      <w:proofErr w:type="gram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московской.</w:t>
      </w:r>
    </w:p>
    <w:p w:rsidR="00DD1065" w:rsidRPr="00DD1065" w:rsidRDefault="00DD1065" w:rsidP="00DD1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Из МГУ с кафедры кристаллографии вместе со мной в ИНХ попали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С.С.Бацанов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В.Б.Кравченко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бокиевские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аспиранты и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Л.П.Соловьева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беловская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аспирантка. В костяк лаборатории кристаллохимии вошли также несколько закончивших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беловскую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аспирантуру выпускников-физиков Горьковского университета. Наше отношение к переезду в Сибирь отражено, например, в рифмованных строчках одного из юбилейных посланий.</w:t>
      </w:r>
    </w:p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80"/>
      </w:tblGrid>
      <w:tr w:rsidR="00DD1065" w:rsidRPr="00DD1065" w:rsidTr="00DD1065">
        <w:trPr>
          <w:tblCellSpacing w:w="0" w:type="dxa"/>
        </w:trPr>
        <w:tc>
          <w:tcPr>
            <w:tcW w:w="0" w:type="auto"/>
            <w:vAlign w:val="center"/>
            <w:hideMark/>
          </w:tcPr>
          <w:p w:rsidR="00DD1065" w:rsidRPr="00DD1065" w:rsidRDefault="00DD1065" w:rsidP="00DD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17980" cy="2141855"/>
                  <wp:effectExtent l="0" t="0" r="1270" b="0"/>
                  <wp:docPr id="3" name="Рисунок 3" descr="В.В.Бакак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.В.Бакак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214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  <w:hideMark/>
          </w:tcPr>
          <w:p w:rsidR="00DD1065" w:rsidRPr="00DD1065" w:rsidRDefault="00DD1065" w:rsidP="00DD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6"/>
      </w:tblGrid>
      <w:tr w:rsidR="00DD1065" w:rsidRPr="00DD1065" w:rsidTr="00DD10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1065" w:rsidRPr="00DD1065" w:rsidRDefault="00DD1065" w:rsidP="00DD10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10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созваны сюда, чтоб, как кристаллы,</w:t>
            </w:r>
            <w:r w:rsidRPr="00DD10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Могущество России прирастало</w:t>
            </w:r>
            <w:r w:rsidRPr="00DD10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Сибирью...</w:t>
            </w:r>
            <w:r w:rsidRPr="00DD10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Социальный сей наказ</w:t>
            </w:r>
            <w:r w:rsidRPr="00DD10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Потомкам завещал сам Ломоносов.</w:t>
            </w:r>
            <w:r w:rsidRPr="00DD10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Его девиз - для просвещенья масс -</w:t>
            </w:r>
            <w:r w:rsidRPr="00DD10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Начертан вдоль новосибирских трасс.</w:t>
            </w:r>
          </w:p>
        </w:tc>
      </w:tr>
    </w:tbl>
    <w:p w:rsidR="00DD1065" w:rsidRPr="00DD1065" w:rsidRDefault="00DD1065" w:rsidP="00DD1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Г.Б.Бокий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неожиданно быстро - в 1963 году - уехал из Новосибирска в подмосковное Фрязино (кафедра в МГУ уже отошла к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Н.В.Белову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). Он был первым, кто "увез" выделенное под Сибирское отделение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членкорское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звание. Это привело к конфликту с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М.А.Лаврентьевым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 его последствия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Г.Б.Бокий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ощущал многие годы. Он увез и часть сотрудников, но отдел сохранился. Сейчас, 40 лет спустя, в штате лаборатории кристаллохимии по-прежнему более 20 человек, и треть из них - выпускники Новосибирского университета, где основы структурно-химического образования заложены тем же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Г.Б.Бокием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Став завлабом, был приятно удивлен трехкратной разницей в окладах по сравнению с младшим научным сотрудником. В семье числилось уже четверо детей (даже полагалась какая-то налоговая скидка), но научные работники с подобной зарплатой в те времена не имели социальных проблем с воспитанием детей, жильем, лечением, отдыхом и т. п.</w:t>
      </w:r>
    </w:p>
    <w:p w:rsidR="00DD1065" w:rsidRPr="00DD1065" w:rsidRDefault="00DD1065" w:rsidP="00DD1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Н.В.Белов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Г.Б.Бокий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неоднократно приезжали в ИНХ, сотрудничество с ними продолжалось до конца их жизни. С кристаллографами-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кристаллохимиками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МГУ и сейчас поддерживаются научные контакты и дружеские связи.</w:t>
      </w:r>
    </w:p>
    <w:p w:rsidR="00DD1065" w:rsidRPr="00DD1065" w:rsidRDefault="00DD1065" w:rsidP="00DD1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 в Сибирском отделении складывалась, я думаю, достаточно типично для молодых специалистов того периода и в анкетном плане может быть уложена в две строки: младший научный сотрудник, защита диссертации, заведующий лабораторией, руководство аспирантами, преподавание-совместительство в НГУ, ведущий научный сотрудник. Для некоторой документальности осмелюсь добавить два абзаца из юбилейной публикации в "Журнале структурной химии".</w:t>
      </w:r>
    </w:p>
    <w:p w:rsidR="00DD1065" w:rsidRPr="00DD1065" w:rsidRDefault="00DD1065" w:rsidP="00DD1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"Получившая мировую известность фундаментальная монография "Очерки по теоретической минералогии" (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Н.В.Белов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А.А.Годовиков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В.В.Бакакин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Москва: </w:t>
      </w:r>
      <w:proofErr w:type="gram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Наука, 1982),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кристаллоструктурная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часть которой написана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В.В.Бакакиным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заложила принципы научно обоснованной систематики минералов, установила информационно-насыщенный стандарт описания кристаллических структур, подвела итог выполненным мировым сообществом исследованиям минералов.</w:t>
      </w:r>
      <w:proofErr w:type="gram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обширном фактическом материале здесь воплощены идеи и практические наработки, составившие оригинальный, легко узнаваемый стиль автора, развившего богатые традиции отечественной науки о кристаллах.</w:t>
      </w:r>
    </w:p>
    <w:p w:rsidR="00DD1065" w:rsidRPr="00DD1065" w:rsidRDefault="00DD1065" w:rsidP="00DD1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Сегодня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В.В.Бакакин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наследник "отцов-основателей" академика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Н.В.Белова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члена-корреспондента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Г.Б.Бокия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фактический глава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кристаллоструктурной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минералогии, поднявший ее на уровень современных возможностей. Работая в неформальных коллективах, следуя принципу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docendo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discimus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(уча - учусь), он соединяет однобоко прогрессирующее "компьютерное мышление" молодых партнеров со сложными реалиями атомных структур".</w:t>
      </w:r>
    </w:p>
    <w:p w:rsidR="00DD1065" w:rsidRPr="00DD1065" w:rsidRDefault="00DD1065" w:rsidP="00DD1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Последние десять лет мои основные научные интересы связаны с исследованием природных и модифицированных цеолитов - микропористых каркасных алюмосиликатов с важными специфическими свойствами. Полагаю, что экспериментальные и методологические результаты (получены вместе с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Ю.В.Сереткиным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Институт минералогии и петрографии СО РАН) позволяют создать новую кристаллохимию цеолитов - структурно-генетическую.</w:t>
      </w:r>
    </w:p>
    <w:p w:rsidR="00DD1065" w:rsidRPr="00DD1065" w:rsidRDefault="00DD1065" w:rsidP="00DD1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увлечениям, не связанным с работой, в прошлом относились шахматы и зимняя рыбалка. Перманентно - "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рифмотворчество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 по разным поводам. Начавшееся в МГУ, на втором курсе (наивная песня о крымской практике, кажется, жива до сих пор), оно перешло на институтскую самодеятельность и дружеские поздравления. </w:t>
      </w:r>
    </w:p>
    <w:tbl>
      <w:tblPr>
        <w:tblpPr w:leftFromText="36" w:rightFromText="36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373"/>
      </w:tblGrid>
      <w:tr w:rsidR="00DD1065" w:rsidRPr="00DD1065" w:rsidTr="00DD1065">
        <w:trPr>
          <w:tblCellSpacing w:w="0" w:type="dxa"/>
        </w:trPr>
        <w:tc>
          <w:tcPr>
            <w:tcW w:w="240" w:type="dxa"/>
            <w:vAlign w:val="center"/>
            <w:hideMark/>
          </w:tcPr>
          <w:p w:rsidR="00DD1065" w:rsidRPr="00DD1065" w:rsidRDefault="00DD1065" w:rsidP="00DD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1065" w:rsidRPr="00DD1065" w:rsidRDefault="00DD1065" w:rsidP="00DD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1855" cy="1617980"/>
                  <wp:effectExtent l="0" t="0" r="0" b="1270"/>
                  <wp:docPr id="2" name="Рисунок 2" descr="В.В.Бакак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.В.Бакак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065" w:rsidRPr="00DD1065" w:rsidRDefault="00DD1065" w:rsidP="00DD1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Несколько лет занимаюсь "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стихохимией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 - поиском и систематизацией химических элементов в поэзии. Сейчас эта оригинальная коллекция содержит уже 69 элементов, по некоторым написаны очерки.</w:t>
      </w:r>
    </w:p>
    <w:p w:rsidR="00DD1065" w:rsidRPr="00DD1065" w:rsidRDefault="00DD1065" w:rsidP="00DD1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Отмечу "эмгэушный" акцент и в шахматах. Играя за команду ИНХ с января 1961 года, я встретил в Академгородке многих шахматистов, знакомых по факультетским командам первенства МГУ. Это, к примеру, геологи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В.Киркинский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Г.Аношин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первый в истории МГУ мастер спорта по шахматам; математик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Ю.Чернышев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с ним я начинал играть еще в первенстве Стромынки; физики: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Ю.Березин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в 2002 году сказавший, что помнит меня за доской в геологическом "мундире";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В.Зелевинский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тоже мастер спорта;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Р.Сагдеев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будущий академик, в 1950-х приходилось вместе выступать за вторую сборную МГУ. Несколько слов по поводу "фамильной кроны", упомянутой в эпиграфе. Завязывалась она как раз в МГУ, в том самом "юбилейном" 1955 году. С будущей женой - красавицей Машей Юровой - мы вместе оказались в комсомольском бюро группы аспирантов и сотрудников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геолфака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 в 2006 году отпраздновали золотую свадьбу. В новосибирском Академгородке к двум детям-москвичам прибавились еще двое - "новые сибиряки". В 1971 году случилась трагедия - попал под оползень на крутом обском берегу и погиб сын-шестиклассник, надежда и гордость семьи и школы. (С тех пор ежегодно в дни весенних каникул проводится ставший традиционным детский шахматный турнир памяти Володи </w:t>
      </w:r>
      <w:proofErr w:type="spellStart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Бакакина</w:t>
      </w:r>
      <w:proofErr w:type="spellEnd"/>
      <w:r w:rsidRPr="00DD1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собирающий более ста участников.)</w:t>
      </w:r>
    </w:p>
    <w:p w:rsidR="00DD1065" w:rsidRPr="00DD1065" w:rsidRDefault="00DD1065" w:rsidP="00DD1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1065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D1065" w:rsidRPr="00DD1065" w:rsidTr="00DD10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D1065" w:rsidRPr="00DD1065" w:rsidRDefault="00DD1065" w:rsidP="00DD10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0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дети выросли, окончили вузы, обзавелись семьями. Сейчас наш "сибирский" родственный куст насчитывает пятнадцать человек. И, как у крестьянских предков, все из "</w:t>
            </w:r>
            <w:proofErr w:type="spellStart"/>
            <w:r w:rsidRPr="00DD10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Академдеревни</w:t>
            </w:r>
            <w:proofErr w:type="spellEnd"/>
            <w:r w:rsidRPr="00DD10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и могут собраться вместе за 10-15 минут. Большинство взрослых - научные работники. Молодые веточки фамильного древа - внуки-близнецы Василий и Федор (Ивановичи), внучка Маша (аспирантка НГУ) и правнучка - тоже Маша.</w:t>
            </w:r>
          </w:p>
          <w:p w:rsidR="00DD1065" w:rsidRPr="00DD1065" w:rsidRDefault="00DD1065" w:rsidP="00DD10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0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Хранительница и опора семьи - жена Маша. Она к тому же имеет звание заслуженного работника культуры Российской Федерации. С гордостью цитирую прошлогодний документ - Свидетельство областной администрации: «</w:t>
            </w:r>
            <w:proofErr w:type="spellStart"/>
            <w:r w:rsidRPr="00DD10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Бакакина</w:t>
            </w:r>
            <w:proofErr w:type="spellEnd"/>
            <w:r w:rsidRPr="00DD10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Григорьевна, директор Дома культуры "Академия", г. Новосибирск, внесена в "Золотую книгу культуры Новосибирской области" в номинации "Верность призванию"».</w:t>
            </w:r>
          </w:p>
          <w:p w:rsidR="00DD1065" w:rsidRPr="00DD1065" w:rsidRDefault="00DD1065" w:rsidP="00DD106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0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заканчиваю очерк эмоциональными строками из ее эссе об Академгородке: "Да, мы с вами счастливое поколение, потому что так совпало, так сошлось - энтузиазм, вера, молодость городка и наша с вами молодость. И огромное, может, не всегда осознанное чувство семьи единой. Спасибо вам, дорогие мои современники, за общую судьбу, биографию, за любовь к нашей малой Родине - Академгородку. Спасибо и вам, отцы-основатели города науки. Вы дали нам повод оглянуться на нашу молодость с уважением".</w:t>
            </w:r>
          </w:p>
          <w:p w:rsidR="00DD1065" w:rsidRPr="00DD1065" w:rsidRDefault="00DD1065" w:rsidP="00DD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2"/>
            </w:tblGrid>
            <w:tr w:rsidR="00DD1065" w:rsidRPr="00DD106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D1065" w:rsidRPr="00DD1065" w:rsidRDefault="00DD1065" w:rsidP="00DD1065">
                  <w:pPr>
                    <w:spacing w:after="24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06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Годы молодые, дали голубые,</w:t>
                  </w:r>
                  <w:r w:rsidRPr="00DD106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Вера в идеалы, в святцы и в себя.</w:t>
                  </w:r>
                  <w:r w:rsidRPr="00DD106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Ах, давно ли, братцы, на Советской-20</w:t>
                  </w:r>
                  <w:proofErr w:type="gramStart"/>
                  <w:r w:rsidRPr="00DD106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К</w:t>
                  </w:r>
                  <w:proofErr w:type="gramEnd"/>
                  <w:r w:rsidRPr="00DD106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ончилась учеба, началась судьба...</w:t>
                  </w:r>
                </w:p>
                <w:p w:rsidR="00DD1065" w:rsidRPr="00DD1065" w:rsidRDefault="00DD1065" w:rsidP="00DD10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065">
                    <w:rPr>
                      <w:rFonts w:ascii="Arial" w:eastAsia="Times New Roman" w:hAnsi="Arial" w:cs="Arial"/>
                      <w:sz w:val="29"/>
                      <w:szCs w:val="29"/>
                      <w:lang w:eastAsia="ru-RU"/>
                    </w:rPr>
                    <w:t>* * *</w:t>
                  </w:r>
                </w:p>
                <w:p w:rsidR="00DD1065" w:rsidRPr="00DD1065" w:rsidRDefault="00DD1065" w:rsidP="00DD10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D106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Пусть круг циферблата склонился к закату</w:t>
                  </w:r>
                  <w:proofErr w:type="gramStart"/>
                  <w:r w:rsidRPr="00DD106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</w:t>
                  </w:r>
                  <w:proofErr w:type="gramEnd"/>
                  <w:r w:rsidRPr="00DD106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круглыми датами целится в нас.</w:t>
                  </w:r>
                  <w:r w:rsidRPr="00DD106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 xml:space="preserve">Но наши кристаллы </w:t>
                  </w:r>
                  <w:proofErr w:type="spellStart"/>
                  <w:r w:rsidRPr="00DD106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аморфней</w:t>
                  </w:r>
                  <w:proofErr w:type="spellEnd"/>
                  <w:r w:rsidRPr="00DD106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не стали,</w:t>
                  </w:r>
                  <w:r w:rsidRPr="00DD106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Хотя симметрия чуть-чуть расползлась.</w:t>
                  </w:r>
                  <w:r w:rsidRPr="00DD106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r w:rsidRPr="00DD106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За русскую душу, за старую дружбу</w:t>
                  </w:r>
                  <w:r w:rsidRPr="00DD106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Судьбу нашу можно лишь благодарить.</w:t>
                  </w:r>
                  <w:r w:rsidRPr="00DD106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Давайте же будем, как мудрые люди,</w:t>
                  </w:r>
                  <w:r w:rsidRPr="00DD106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С любовью о жизни своей говорить.</w:t>
                  </w:r>
                </w:p>
              </w:tc>
            </w:tr>
          </w:tbl>
          <w:p w:rsidR="00DD1065" w:rsidRPr="00DD1065" w:rsidRDefault="00DD1065" w:rsidP="00DD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65">
              <w:rPr>
                <w:rFonts w:ascii="Times New Roman" w:eastAsia="Times New Roman" w:hAnsi="Times New Roman" w:cs="Times New Roman"/>
                <w:sz w:val="80"/>
                <w:szCs w:val="80"/>
                <w:lang w:eastAsia="ru-RU"/>
              </w:rPr>
              <w:t> </w:t>
            </w:r>
          </w:p>
        </w:tc>
      </w:tr>
    </w:tbl>
    <w:p w:rsidR="00DD1065" w:rsidRPr="00DD1065" w:rsidRDefault="00DD1065" w:rsidP="00DD1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630"/>
        <w:gridCol w:w="8471"/>
      </w:tblGrid>
      <w:tr w:rsidR="00DD1065" w:rsidRPr="00DD1065" w:rsidTr="00570B87">
        <w:trPr>
          <w:tblCellSpacing w:w="0" w:type="dxa"/>
          <w:jc w:val="center"/>
        </w:trPr>
        <w:tc>
          <w:tcPr>
            <w:tcW w:w="411" w:type="dxa"/>
            <w:hideMark/>
          </w:tcPr>
          <w:p w:rsidR="00DD1065" w:rsidRPr="00DD1065" w:rsidRDefault="00DD1065" w:rsidP="00DD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0" w:type="dxa"/>
            <w:vMerge w:val="restart"/>
            <w:hideMark/>
          </w:tcPr>
          <w:p w:rsidR="00DD1065" w:rsidRPr="00DD1065" w:rsidRDefault="00DD1065" w:rsidP="00DD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F4ED995" wp14:editId="2EFDEC0B">
                  <wp:extent cx="390525" cy="390525"/>
                  <wp:effectExtent l="0" t="0" r="9525" b="9525"/>
                  <wp:docPr id="1" name="Рисунок 1" descr="СО РАН">
                    <a:hlinkClick xmlns:a="http://schemas.openxmlformats.org/drawingml/2006/main" r:id="rId8" tooltip="&quot;Сибирское отделение РАН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О РАН">
                            <a:hlinkClick r:id="rId8" tooltip="&quot;Сибирское отделение РАН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4" w:type="dxa"/>
            <w:hideMark/>
          </w:tcPr>
          <w:p w:rsidR="00DD1065" w:rsidRPr="00DD1065" w:rsidRDefault="00DD1065" w:rsidP="00DD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1065" w:rsidRPr="00DD1065" w:rsidTr="00DD10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D1065" w:rsidRPr="00DD1065" w:rsidRDefault="00DD1065" w:rsidP="00DD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6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D1065" w:rsidRPr="00DD1065" w:rsidRDefault="00DD1065" w:rsidP="00DD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1065" w:rsidRPr="00DD1065" w:rsidRDefault="00DD1065" w:rsidP="00DD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6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DD1065" w:rsidRPr="00DD1065" w:rsidTr="00DD106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D1065" w:rsidRPr="00DD1065" w:rsidRDefault="00DD1065" w:rsidP="00DD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D1065" w:rsidRPr="00DD1065" w:rsidRDefault="00DD1065" w:rsidP="00DD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47"/>
            </w:tblGrid>
            <w:tr w:rsidR="00DD1065" w:rsidRPr="00DD106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D1065" w:rsidRPr="00DD1065" w:rsidRDefault="00DD1065" w:rsidP="00DD1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D106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Бакакин</w:t>
                  </w:r>
                  <w:proofErr w:type="spellEnd"/>
                  <w:r w:rsidRPr="00DD106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В.В. О моем университете - полвека спустя // Выпускники МГУ в Новосибирском научном центре СО РАН. 1957-2007. - Новосибирск: Гео, 2007. - С.17-22.</w:t>
                  </w:r>
                </w:p>
              </w:tc>
            </w:tr>
          </w:tbl>
          <w:p w:rsidR="00DD1065" w:rsidRPr="00DD1065" w:rsidRDefault="00DD1065" w:rsidP="00DD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2071" w:rsidRDefault="00570B87">
      <w:hyperlink r:id="rId10" w:history="1">
        <w:r w:rsidRPr="00540253">
          <w:rPr>
            <w:rStyle w:val="a6"/>
          </w:rPr>
          <w:t>http://www.prometeus.nsc.ru/elibrary/2007mgu/017-022.ssi</w:t>
        </w:r>
      </w:hyperlink>
      <w:r>
        <w:t xml:space="preserve"> </w:t>
      </w:r>
      <w:bookmarkStart w:id="0" w:name="_GoBack"/>
      <w:bookmarkEnd w:id="0"/>
    </w:p>
    <w:sectPr w:rsidR="002E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65"/>
    <w:rsid w:val="002E2071"/>
    <w:rsid w:val="00570B87"/>
    <w:rsid w:val="00D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D10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D10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06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70B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D10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D10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06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70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ra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prometeus.nsc.ru/elibrary/2007mgu/017-022.s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Maestro</cp:lastModifiedBy>
  <cp:revision>2</cp:revision>
  <dcterms:created xsi:type="dcterms:W3CDTF">2023-11-22T12:02:00Z</dcterms:created>
  <dcterms:modified xsi:type="dcterms:W3CDTF">2023-11-22T12:05:00Z</dcterms:modified>
</cp:coreProperties>
</file>